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5D" w:rsidRPr="00570A5D" w:rsidRDefault="00570A5D" w:rsidP="00C061C4">
      <w:pPr>
        <w:spacing w:line="276" w:lineRule="auto"/>
        <w:jc w:val="both"/>
        <w:rPr>
          <w:rFonts w:cs="Arial"/>
          <w:b/>
          <w:sz w:val="28"/>
        </w:rPr>
      </w:pPr>
      <w:bookmarkStart w:id="0" w:name="_GoBack"/>
      <w:bookmarkEnd w:id="0"/>
      <w:r w:rsidRPr="00570A5D">
        <w:rPr>
          <w:rFonts w:cs="Arial"/>
          <w:b/>
          <w:sz w:val="28"/>
        </w:rPr>
        <w:t>Faire Bezahlung für die Leistungsträgerinnen</w:t>
      </w:r>
    </w:p>
    <w:p w:rsidR="00570A5D" w:rsidRDefault="00570A5D" w:rsidP="00C061C4">
      <w:pPr>
        <w:spacing w:line="276" w:lineRule="auto"/>
        <w:jc w:val="both"/>
        <w:rPr>
          <w:rFonts w:cs="Arial"/>
          <w:b/>
          <w:sz w:val="22"/>
        </w:rPr>
      </w:pPr>
    </w:p>
    <w:p w:rsidR="0093421F" w:rsidRPr="00316F08" w:rsidRDefault="0093421F" w:rsidP="00C061C4">
      <w:pPr>
        <w:spacing w:line="276" w:lineRule="auto"/>
        <w:jc w:val="both"/>
        <w:rPr>
          <w:rFonts w:cs="Arial"/>
          <w:b/>
          <w:sz w:val="22"/>
        </w:rPr>
      </w:pPr>
      <w:r w:rsidRPr="00316F08">
        <w:rPr>
          <w:rFonts w:cs="Arial"/>
          <w:b/>
          <w:sz w:val="22"/>
        </w:rPr>
        <w:t>In den vergangenen Wochen war viel war von "Heldinnen und Helden der Arbeit“ die Rede.  Die Krise hat ein helles Licht darauf geworfen, wie unverzichtbar die Arbeit dieser Menschen für die Gesellschaft ist: Beschäftigte in den Gesundheitsberufen, im Handel,</w:t>
      </w:r>
      <w:r w:rsidR="00850B14">
        <w:rPr>
          <w:rFonts w:cs="Arial"/>
          <w:b/>
          <w:sz w:val="22"/>
        </w:rPr>
        <w:t xml:space="preserve"> </w:t>
      </w:r>
      <w:r w:rsidRPr="00316F08">
        <w:rPr>
          <w:rFonts w:cs="Arial"/>
          <w:b/>
          <w:sz w:val="22"/>
        </w:rPr>
        <w:t xml:space="preserve">in der Reinigung, in der </w:t>
      </w:r>
      <w:r w:rsidR="00850B14">
        <w:rPr>
          <w:rFonts w:cs="Arial"/>
          <w:b/>
          <w:sz w:val="22"/>
        </w:rPr>
        <w:t xml:space="preserve">Kinder- und der </w:t>
      </w:r>
      <w:r w:rsidRPr="00316F08">
        <w:rPr>
          <w:rFonts w:cs="Arial"/>
          <w:b/>
          <w:sz w:val="22"/>
        </w:rPr>
        <w:t xml:space="preserve">24-Stunden-Betreuung, im Transportwesen oder bei Lieferdiensten halten das Land am Laufen. </w:t>
      </w:r>
      <w:r w:rsidR="00E1046F" w:rsidRPr="00316F08">
        <w:rPr>
          <w:rFonts w:cs="Arial"/>
          <w:b/>
          <w:sz w:val="22"/>
        </w:rPr>
        <w:t xml:space="preserve">In vielen </w:t>
      </w:r>
      <w:r w:rsidRPr="00316F08">
        <w:rPr>
          <w:rFonts w:cs="Arial"/>
          <w:b/>
          <w:sz w:val="22"/>
        </w:rPr>
        <w:t xml:space="preserve">dieser Berufe </w:t>
      </w:r>
      <w:r w:rsidR="00E1046F" w:rsidRPr="00316F08">
        <w:rPr>
          <w:rFonts w:cs="Arial"/>
          <w:b/>
          <w:sz w:val="22"/>
        </w:rPr>
        <w:t>sind allerdings die</w:t>
      </w:r>
      <w:r w:rsidRPr="00316F08">
        <w:rPr>
          <w:rFonts w:cs="Arial"/>
          <w:b/>
          <w:sz w:val="22"/>
        </w:rPr>
        <w:t xml:space="preserve"> Arbeitsbedingungen</w:t>
      </w:r>
      <w:r w:rsidR="00E1046F" w:rsidRPr="00316F08">
        <w:rPr>
          <w:rFonts w:cs="Arial"/>
          <w:b/>
          <w:sz w:val="22"/>
        </w:rPr>
        <w:t xml:space="preserve"> schlecht und das </w:t>
      </w:r>
      <w:r w:rsidRPr="00316F08">
        <w:rPr>
          <w:rFonts w:cs="Arial"/>
          <w:b/>
          <w:sz w:val="22"/>
        </w:rPr>
        <w:t>Lohnniveau</w:t>
      </w:r>
      <w:r w:rsidR="00E1046F" w:rsidRPr="00316F08">
        <w:rPr>
          <w:rFonts w:cs="Arial"/>
          <w:b/>
          <w:sz w:val="22"/>
        </w:rPr>
        <w:t xml:space="preserve"> niedrig. </w:t>
      </w:r>
      <w:r w:rsidR="00570A5D">
        <w:rPr>
          <w:rFonts w:cs="Arial"/>
          <w:b/>
          <w:sz w:val="22"/>
        </w:rPr>
        <w:t>Die meisten dieser</w:t>
      </w:r>
      <w:r w:rsidR="00E1046F" w:rsidRPr="00316F08">
        <w:rPr>
          <w:rFonts w:cs="Arial"/>
          <w:b/>
          <w:sz w:val="22"/>
        </w:rPr>
        <w:t xml:space="preserve"> beklatschten Heldinnen sind </w:t>
      </w:r>
      <w:r w:rsidRPr="00316F08">
        <w:rPr>
          <w:rFonts w:cs="Arial"/>
          <w:b/>
          <w:sz w:val="22"/>
        </w:rPr>
        <w:t>Frauen.</w:t>
      </w:r>
    </w:p>
    <w:p w:rsidR="0093421F" w:rsidRPr="00316F08" w:rsidRDefault="0093421F" w:rsidP="00C061C4">
      <w:pPr>
        <w:pStyle w:val="lead"/>
        <w:spacing w:line="276" w:lineRule="auto"/>
        <w:rPr>
          <w:rFonts w:cs="Arial"/>
          <w:sz w:val="22"/>
        </w:rPr>
      </w:pPr>
    </w:p>
    <w:p w:rsidR="00E1046F" w:rsidRPr="00316F08" w:rsidRDefault="00D37A93" w:rsidP="00C061C4">
      <w:pPr>
        <w:spacing w:line="276" w:lineRule="auto"/>
        <w:jc w:val="both"/>
        <w:rPr>
          <w:rFonts w:cs="Arial"/>
          <w:b/>
          <w:sz w:val="22"/>
        </w:rPr>
      </w:pPr>
      <w:r>
        <w:rPr>
          <w:rFonts w:cs="Arial"/>
          <w:b/>
          <w:sz w:val="22"/>
        </w:rPr>
        <w:t>Leistungsträgerinnen sind großteils Frauen – und schlecht bezahlt</w:t>
      </w:r>
    </w:p>
    <w:p w:rsidR="00D37A93" w:rsidRDefault="00D37A93" w:rsidP="00C061C4">
      <w:pPr>
        <w:spacing w:line="276" w:lineRule="auto"/>
        <w:jc w:val="both"/>
        <w:rPr>
          <w:rFonts w:cs="Arial"/>
          <w:sz w:val="22"/>
        </w:rPr>
      </w:pPr>
    </w:p>
    <w:p w:rsidR="00E1046F" w:rsidRPr="00316F08" w:rsidRDefault="00E1046F" w:rsidP="00C061C4">
      <w:pPr>
        <w:spacing w:line="276" w:lineRule="auto"/>
        <w:jc w:val="both"/>
        <w:rPr>
          <w:rFonts w:cs="Arial"/>
          <w:sz w:val="22"/>
        </w:rPr>
      </w:pPr>
      <w:r w:rsidRPr="00316F08">
        <w:rPr>
          <w:rFonts w:cs="Arial"/>
          <w:sz w:val="22"/>
        </w:rPr>
        <w:t xml:space="preserve">In Summe arbeiten rund </w:t>
      </w:r>
      <w:r w:rsidR="00D01E87" w:rsidRPr="00316F08">
        <w:rPr>
          <w:rFonts w:cs="Arial"/>
          <w:sz w:val="22"/>
        </w:rPr>
        <w:t>eine</w:t>
      </w:r>
      <w:r w:rsidRPr="00316F08">
        <w:rPr>
          <w:rFonts w:cs="Arial"/>
          <w:sz w:val="22"/>
        </w:rPr>
        <w:t xml:space="preserve"> Million Beschäftigte in den sogenannten „systemrelevanten“ Berufen. Alleine die drei Bereiche Einzelhandel, Reinigung oder Lehrerin/Lehrer umfassen mehr als die Hälfte dieser Beschäftigten.</w:t>
      </w:r>
      <w:r w:rsidR="00D37A93">
        <w:rPr>
          <w:rFonts w:cs="Arial"/>
          <w:sz w:val="22"/>
        </w:rPr>
        <w:t xml:space="preserve"> </w:t>
      </w:r>
      <w:r w:rsidRPr="00316F08">
        <w:rPr>
          <w:rFonts w:cs="Arial"/>
          <w:sz w:val="22"/>
        </w:rPr>
        <w:t xml:space="preserve">In acht von elf Berufen arbeiten überwiegend Frauen. </w:t>
      </w:r>
      <w:r w:rsidR="00D37A93">
        <w:rPr>
          <w:rFonts w:cs="Arial"/>
          <w:sz w:val="22"/>
        </w:rPr>
        <w:t>In Summe sind zwei Drittel dieser Leistungsträgerinnen weiblich.</w:t>
      </w:r>
    </w:p>
    <w:p w:rsidR="00D01E87" w:rsidRPr="00316F08" w:rsidRDefault="00D01E87" w:rsidP="00C061C4">
      <w:pPr>
        <w:jc w:val="both"/>
        <w:rPr>
          <w:rFonts w:cs="Arial"/>
        </w:rPr>
      </w:pPr>
      <w:r w:rsidRPr="00316F08">
        <w:rPr>
          <w:rFonts w:cs="Arial"/>
          <w:noProof/>
          <w:lang w:val="de-DE" w:eastAsia="de-DE"/>
        </w:rPr>
        <w:drawing>
          <wp:anchor distT="0" distB="0" distL="114300" distR="114300" simplePos="0" relativeHeight="251684352" behindDoc="0" locked="0" layoutInCell="1" allowOverlap="1" wp14:anchorId="35CFCD3A" wp14:editId="0000F0E2">
            <wp:simplePos x="0" y="0"/>
            <wp:positionH relativeFrom="margin">
              <wp:align>left</wp:align>
            </wp:positionH>
            <wp:positionV relativeFrom="paragraph">
              <wp:posOffset>153035</wp:posOffset>
            </wp:positionV>
            <wp:extent cx="5629275" cy="2930525"/>
            <wp:effectExtent l="0" t="0" r="9525" b="3175"/>
            <wp:wrapTopAndBottom/>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02995" w:rsidRPr="00FC4297" w:rsidRDefault="00FC4297" w:rsidP="00C061C4">
      <w:pPr>
        <w:spacing w:line="276" w:lineRule="auto"/>
        <w:jc w:val="both"/>
        <w:rPr>
          <w:rFonts w:cs="Arial"/>
          <w:i/>
          <w:szCs w:val="20"/>
        </w:rPr>
      </w:pPr>
      <w:r w:rsidRPr="00FC4297">
        <w:rPr>
          <w:rFonts w:cs="Arial"/>
          <w:i/>
          <w:szCs w:val="20"/>
        </w:rPr>
        <w:t>Quelle: Sonderauswertung des Österreichischen Arbeitsklimaindex, April 2020</w:t>
      </w:r>
    </w:p>
    <w:p w:rsidR="00D01E87" w:rsidRPr="00C061C4" w:rsidRDefault="00D01E87" w:rsidP="00C061C4">
      <w:pPr>
        <w:spacing w:line="276" w:lineRule="auto"/>
        <w:jc w:val="both"/>
        <w:rPr>
          <w:rFonts w:cs="Arial"/>
          <w:sz w:val="22"/>
        </w:rPr>
      </w:pPr>
    </w:p>
    <w:p w:rsidR="00D01E87" w:rsidRPr="00757FBD" w:rsidRDefault="00D01E87" w:rsidP="00C061C4">
      <w:pPr>
        <w:spacing w:line="276" w:lineRule="auto"/>
        <w:jc w:val="both"/>
        <w:rPr>
          <w:rFonts w:cs="Arial"/>
          <w:sz w:val="22"/>
        </w:rPr>
      </w:pPr>
      <w:r w:rsidRPr="00757FBD">
        <w:rPr>
          <w:rFonts w:cs="Arial"/>
          <w:sz w:val="22"/>
        </w:rPr>
        <w:t xml:space="preserve">Von elf als „systemrelevant“ eingestuften Berufsgruppen haben ausgerechnet jene fünf Gruppen, in denen der </w:t>
      </w:r>
      <w:r w:rsidRPr="00A52BE3">
        <w:rPr>
          <w:rFonts w:cs="Arial"/>
          <w:b/>
          <w:sz w:val="22"/>
        </w:rPr>
        <w:t>Frauenanteil am höchsten ist, Einkommen unter dem österreichischen Durchschnittslohn.</w:t>
      </w:r>
      <w:r w:rsidRPr="00757FBD">
        <w:rPr>
          <w:rFonts w:cs="Arial"/>
          <w:sz w:val="22"/>
        </w:rPr>
        <w:t xml:space="preserve"> Am unteren Ende befinden sich damit Reinigungskräfte und Einzelhandelsangestellte – sie verdienen im Schnitt weniger als 1.300 Euro netto pro Monat. </w:t>
      </w:r>
    </w:p>
    <w:p w:rsidR="00D01E87" w:rsidRPr="00757FBD" w:rsidRDefault="00D01E87" w:rsidP="00C061C4">
      <w:pPr>
        <w:spacing w:line="276" w:lineRule="auto"/>
        <w:jc w:val="both"/>
        <w:rPr>
          <w:rFonts w:cs="Arial"/>
          <w:sz w:val="22"/>
        </w:rPr>
      </w:pPr>
    </w:p>
    <w:p w:rsidR="0002057B" w:rsidRPr="00316F08" w:rsidRDefault="0002057B" w:rsidP="00C061C4">
      <w:pPr>
        <w:spacing w:line="276" w:lineRule="auto"/>
        <w:jc w:val="both"/>
        <w:rPr>
          <w:rFonts w:cs="Arial"/>
          <w:sz w:val="22"/>
        </w:rPr>
      </w:pPr>
      <w:r w:rsidRPr="00757FBD">
        <w:rPr>
          <w:rFonts w:cs="Arial"/>
          <w:sz w:val="22"/>
        </w:rPr>
        <w:t>Vor allem Reinigungskräfte (76 Prozent) und Kassakräfte/Reg</w:t>
      </w:r>
      <w:r w:rsidR="004A1166">
        <w:rPr>
          <w:rFonts w:cs="Arial"/>
          <w:sz w:val="22"/>
        </w:rPr>
        <w:t>a</w:t>
      </w:r>
      <w:r w:rsidRPr="00757FBD">
        <w:rPr>
          <w:rFonts w:cs="Arial"/>
          <w:sz w:val="22"/>
        </w:rPr>
        <w:t xml:space="preserve">lbetreuerInnen (70 Prozent) </w:t>
      </w:r>
      <w:r w:rsidRPr="00A52BE3">
        <w:rPr>
          <w:rFonts w:cs="Arial"/>
          <w:b/>
          <w:sz w:val="22"/>
        </w:rPr>
        <w:t>kommen mit ihren Einkommen nur knapp oder nicht aus.</w:t>
      </w:r>
      <w:r w:rsidRPr="00757FBD">
        <w:rPr>
          <w:rFonts w:cs="Arial"/>
          <w:sz w:val="22"/>
        </w:rPr>
        <w:t xml:space="preserve"> In diesen Berufen ist der Frauen- und MigrantInnen-Anteil besonders hoch. Die geringeren Arbeitsstunden erklären die geringeren Einkommen nur zum Teil.</w:t>
      </w:r>
    </w:p>
    <w:p w:rsidR="00D01E87" w:rsidRDefault="00D01E87" w:rsidP="00C061C4">
      <w:pPr>
        <w:jc w:val="both"/>
        <w:rPr>
          <w:rFonts w:cs="Arial"/>
        </w:rPr>
      </w:pPr>
    </w:p>
    <w:p w:rsidR="00D37A93" w:rsidRDefault="00D37A93" w:rsidP="00C061C4">
      <w:pPr>
        <w:jc w:val="both"/>
        <w:rPr>
          <w:rFonts w:cs="Arial"/>
        </w:rPr>
      </w:pPr>
    </w:p>
    <w:p w:rsidR="00D37A93" w:rsidRDefault="00D37A93" w:rsidP="00C061C4">
      <w:pPr>
        <w:jc w:val="both"/>
        <w:rPr>
          <w:rFonts w:cs="Arial"/>
        </w:rPr>
      </w:pPr>
    </w:p>
    <w:p w:rsidR="00D37A93" w:rsidRDefault="00D37A93" w:rsidP="00C061C4">
      <w:pPr>
        <w:jc w:val="both"/>
        <w:rPr>
          <w:rFonts w:cs="Arial"/>
        </w:rPr>
      </w:pPr>
    </w:p>
    <w:p w:rsidR="00D37A93" w:rsidRDefault="00D37A93" w:rsidP="00C061C4">
      <w:pPr>
        <w:jc w:val="both"/>
        <w:rPr>
          <w:rFonts w:cs="Arial"/>
        </w:rPr>
      </w:pPr>
    </w:p>
    <w:p w:rsidR="00D37A93" w:rsidRDefault="00D37A93" w:rsidP="00C061C4">
      <w:pPr>
        <w:jc w:val="both"/>
        <w:rPr>
          <w:rFonts w:cs="Arial"/>
        </w:rPr>
      </w:pPr>
    </w:p>
    <w:p w:rsidR="00D37A93" w:rsidRDefault="00D37A93" w:rsidP="00C061C4">
      <w:pPr>
        <w:jc w:val="both"/>
        <w:rPr>
          <w:rFonts w:cs="Arial"/>
        </w:rPr>
      </w:pPr>
    </w:p>
    <w:p w:rsidR="00D37A93" w:rsidRDefault="00D37A93" w:rsidP="00C061C4">
      <w:pPr>
        <w:jc w:val="both"/>
        <w:rPr>
          <w:rFonts w:cs="Arial"/>
        </w:rPr>
      </w:pPr>
      <w:r>
        <w:rPr>
          <w:rFonts w:cs="Arial"/>
          <w:noProof/>
          <w:lang w:val="de-DE" w:eastAsia="de-DE"/>
        </w:rPr>
        <w:drawing>
          <wp:inline distT="0" distB="0" distL="0" distR="0" wp14:anchorId="6DD1EEAC" wp14:editId="10573A88">
            <wp:extent cx="5553154" cy="262037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638" cy="2622014"/>
                    </a:xfrm>
                    <a:prstGeom prst="rect">
                      <a:avLst/>
                    </a:prstGeom>
                    <a:noFill/>
                  </pic:spPr>
                </pic:pic>
              </a:graphicData>
            </a:graphic>
          </wp:inline>
        </w:drawing>
      </w:r>
    </w:p>
    <w:p w:rsidR="00FC4297" w:rsidRDefault="00FC4297" w:rsidP="00C061C4">
      <w:pPr>
        <w:spacing w:line="276" w:lineRule="auto"/>
        <w:jc w:val="both"/>
        <w:rPr>
          <w:rFonts w:cs="Arial"/>
          <w:i/>
          <w:szCs w:val="20"/>
        </w:rPr>
      </w:pPr>
      <w:r w:rsidRPr="00D37A93">
        <w:rPr>
          <w:rFonts w:cs="Arial"/>
          <w:i/>
          <w:szCs w:val="20"/>
        </w:rPr>
        <w:t xml:space="preserve">Quelle: Sonderauswertung des Österreichischen Arbeitsklimaindex, April 2020 </w:t>
      </w:r>
    </w:p>
    <w:p w:rsidR="008E467B" w:rsidRDefault="008E467B" w:rsidP="00C061C4">
      <w:pPr>
        <w:spacing w:line="276" w:lineRule="auto"/>
        <w:jc w:val="both"/>
        <w:rPr>
          <w:rFonts w:cs="Arial"/>
          <w:i/>
          <w:szCs w:val="20"/>
        </w:rPr>
      </w:pPr>
    </w:p>
    <w:p w:rsidR="008410CD" w:rsidRPr="004D1253" w:rsidRDefault="008410CD" w:rsidP="00C061C4">
      <w:pPr>
        <w:spacing w:line="276" w:lineRule="auto"/>
        <w:jc w:val="both"/>
        <w:rPr>
          <w:rFonts w:cs="Arial"/>
          <w:b/>
          <w:szCs w:val="20"/>
        </w:rPr>
      </w:pPr>
      <w:r w:rsidRPr="004D1253">
        <w:rPr>
          <w:rFonts w:cs="Arial"/>
          <w:b/>
          <w:szCs w:val="20"/>
        </w:rPr>
        <w:t>Gemeinden unverzichtbar für beschäftigte Frauen</w:t>
      </w:r>
    </w:p>
    <w:p w:rsidR="008E467B" w:rsidRPr="004D1253" w:rsidRDefault="008E467B" w:rsidP="00C061C4">
      <w:pPr>
        <w:spacing w:line="276" w:lineRule="auto"/>
        <w:jc w:val="both"/>
        <w:rPr>
          <w:rFonts w:cs="Arial"/>
          <w:szCs w:val="20"/>
        </w:rPr>
      </w:pPr>
      <w:r w:rsidRPr="004D1253">
        <w:rPr>
          <w:rFonts w:cs="Arial"/>
          <w:szCs w:val="20"/>
        </w:rPr>
        <w:t xml:space="preserve">Eine wichtige Rolle für das Schließen der Einkommensschere spielen die Gemeinden: Sie </w:t>
      </w:r>
      <w:r w:rsidR="00760D5F" w:rsidRPr="004D1253">
        <w:rPr>
          <w:rFonts w:cs="Arial"/>
          <w:szCs w:val="20"/>
        </w:rPr>
        <w:t xml:space="preserve">betreiben Kindergärten </w:t>
      </w:r>
      <w:r w:rsidR="00F52448" w:rsidRPr="004D1253">
        <w:rPr>
          <w:rFonts w:cs="Arial"/>
          <w:szCs w:val="20"/>
        </w:rPr>
        <w:t xml:space="preserve">und bieten mobile Pflege an – also wichtige Einrichtungen, um Familie und Beruf zu </w:t>
      </w:r>
      <w:r w:rsidR="008410CD" w:rsidRPr="004D1253">
        <w:rPr>
          <w:rFonts w:cs="Arial"/>
          <w:szCs w:val="20"/>
        </w:rPr>
        <w:t>v</w:t>
      </w:r>
      <w:r w:rsidR="00F52448" w:rsidRPr="004D1253">
        <w:rPr>
          <w:rFonts w:cs="Arial"/>
          <w:szCs w:val="20"/>
        </w:rPr>
        <w:t xml:space="preserve">ereinbaren. Zugleich beschäftigten sie viele Frauen und bestimmen damit auch über die </w:t>
      </w:r>
      <w:r w:rsidR="008410CD" w:rsidRPr="004D1253">
        <w:rPr>
          <w:rFonts w:cs="Arial"/>
          <w:szCs w:val="20"/>
        </w:rPr>
        <w:t>Einkommen</w:t>
      </w:r>
      <w:r w:rsidR="00F52448" w:rsidRPr="004D1253">
        <w:rPr>
          <w:rFonts w:cs="Arial"/>
          <w:szCs w:val="20"/>
        </w:rPr>
        <w:t xml:space="preserve"> von weiblichen Beschäftigten.</w:t>
      </w:r>
    </w:p>
    <w:p w:rsidR="00F52448" w:rsidRPr="004D1253" w:rsidRDefault="00F52448" w:rsidP="00C061C4">
      <w:pPr>
        <w:spacing w:line="276" w:lineRule="auto"/>
        <w:jc w:val="both"/>
        <w:rPr>
          <w:rFonts w:cs="Arial"/>
          <w:szCs w:val="20"/>
        </w:rPr>
      </w:pPr>
    </w:p>
    <w:p w:rsidR="00F52448" w:rsidRPr="004D1253" w:rsidRDefault="00F52448" w:rsidP="00C061C4">
      <w:pPr>
        <w:spacing w:line="276" w:lineRule="auto"/>
        <w:jc w:val="both"/>
        <w:rPr>
          <w:rFonts w:cs="Arial"/>
          <w:szCs w:val="20"/>
        </w:rPr>
      </w:pPr>
      <w:r w:rsidRPr="004D1253">
        <w:rPr>
          <w:rFonts w:cs="Arial"/>
          <w:szCs w:val="20"/>
        </w:rPr>
        <w:t xml:space="preserve">Die Corona-Krise hat die Einnahmen der Gemeinden massiv einbrechen lassen. Das macht die Finanzierung der </w:t>
      </w:r>
      <w:r w:rsidR="003E39A3" w:rsidRPr="004D1253">
        <w:rPr>
          <w:rFonts w:cs="Arial"/>
          <w:szCs w:val="20"/>
        </w:rPr>
        <w:t xml:space="preserve">Einrichtungen </w:t>
      </w:r>
      <w:r w:rsidR="00217EF0" w:rsidRPr="004D1253">
        <w:rPr>
          <w:rFonts w:cs="Arial"/>
          <w:szCs w:val="20"/>
        </w:rPr>
        <w:t>ebenso schwierig wie faire Bezahlung der beschäftigten Frauen.</w:t>
      </w:r>
      <w:r w:rsidR="008410CD" w:rsidRPr="004D1253">
        <w:rPr>
          <w:rFonts w:cs="Arial"/>
          <w:szCs w:val="20"/>
        </w:rPr>
        <w:t xml:space="preserve"> Deswegen müssen die Kommunen ausreichende Unterstützung bekommen, um ihren Aufgaben nachkommen zu können.</w:t>
      </w:r>
    </w:p>
    <w:p w:rsidR="00D37A93" w:rsidRPr="008752B7" w:rsidRDefault="00D37A93" w:rsidP="00C061C4">
      <w:pPr>
        <w:spacing w:line="276" w:lineRule="auto"/>
        <w:jc w:val="both"/>
        <w:rPr>
          <w:rFonts w:cs="Arial"/>
          <w:b/>
          <w:sz w:val="22"/>
        </w:rPr>
      </w:pPr>
    </w:p>
    <w:p w:rsidR="001F1E49" w:rsidRDefault="001F1E49" w:rsidP="00C061C4">
      <w:pPr>
        <w:spacing w:line="276" w:lineRule="auto"/>
        <w:jc w:val="both"/>
        <w:rPr>
          <w:rFonts w:cs="Arial"/>
          <w:b/>
          <w:sz w:val="22"/>
        </w:rPr>
      </w:pPr>
      <w:r>
        <w:rPr>
          <w:rFonts w:cs="Arial"/>
          <w:b/>
          <w:sz w:val="22"/>
          <w:u w:val="single"/>
        </w:rPr>
        <w:t>Deshalb fordern wir:</w:t>
      </w:r>
      <w:r w:rsidRPr="00A52BE3">
        <w:rPr>
          <w:rFonts w:cs="Arial"/>
          <w:b/>
          <w:sz w:val="22"/>
        </w:rPr>
        <w:t xml:space="preserve"> </w:t>
      </w:r>
      <w:r w:rsidR="00B67351" w:rsidRPr="00316F08">
        <w:rPr>
          <w:rFonts w:cs="Arial"/>
          <w:b/>
          <w:sz w:val="22"/>
        </w:rPr>
        <w:t>Faire Entlohnung</w:t>
      </w:r>
      <w:r>
        <w:rPr>
          <w:rFonts w:cs="Arial"/>
          <w:b/>
          <w:sz w:val="22"/>
        </w:rPr>
        <w:t xml:space="preserve"> und faire Arbeitszeiten für die wahren Leistungsträger*innen dieses Landes</w:t>
      </w:r>
      <w:r w:rsidR="00B67351" w:rsidRPr="00316F08">
        <w:rPr>
          <w:rFonts w:cs="Arial"/>
          <w:b/>
          <w:sz w:val="22"/>
        </w:rPr>
        <w:t>:</w:t>
      </w:r>
    </w:p>
    <w:p w:rsidR="00B67351" w:rsidRPr="00316F08" w:rsidRDefault="00B67351" w:rsidP="00C061C4">
      <w:pPr>
        <w:spacing w:line="276" w:lineRule="auto"/>
        <w:jc w:val="both"/>
        <w:rPr>
          <w:rFonts w:cs="Arial"/>
          <w:sz w:val="22"/>
        </w:rPr>
      </w:pPr>
      <w:r w:rsidRPr="00316F08">
        <w:rPr>
          <w:rFonts w:cs="Arial"/>
          <w:sz w:val="22"/>
        </w:rPr>
        <w:t xml:space="preserve"> </w:t>
      </w:r>
    </w:p>
    <w:p w:rsidR="00B67351" w:rsidRPr="008410CD" w:rsidRDefault="00B67351" w:rsidP="00C061C4">
      <w:pPr>
        <w:pStyle w:val="Listenabsatz"/>
        <w:numPr>
          <w:ilvl w:val="0"/>
          <w:numId w:val="14"/>
        </w:numPr>
        <w:spacing w:line="276" w:lineRule="auto"/>
        <w:jc w:val="both"/>
        <w:rPr>
          <w:rFonts w:ascii="Arial" w:hAnsi="Arial" w:cs="Arial"/>
          <w:sz w:val="20"/>
        </w:rPr>
      </w:pPr>
      <w:r w:rsidRPr="008410CD">
        <w:rPr>
          <w:rFonts w:ascii="Arial" w:hAnsi="Arial" w:cs="Arial"/>
          <w:sz w:val="20"/>
        </w:rPr>
        <w:t xml:space="preserve">Die Kosten der Krise dürfen nicht die ArbeitnehmerInnen zahlen – große Vermögen und Konzerne müssen gerechte Beiträge leisten. Nur so sind angemessene Gehälter in Gesundheit, Bildung </w:t>
      </w:r>
      <w:r w:rsidR="00EC6F91" w:rsidRPr="008410CD">
        <w:rPr>
          <w:rFonts w:ascii="Arial" w:hAnsi="Arial" w:cs="Arial"/>
          <w:sz w:val="20"/>
        </w:rPr>
        <w:t>und</w:t>
      </w:r>
      <w:r w:rsidRPr="008410CD">
        <w:rPr>
          <w:rFonts w:ascii="Arial" w:hAnsi="Arial" w:cs="Arial"/>
          <w:sz w:val="20"/>
        </w:rPr>
        <w:t xml:space="preserve"> Kinderbetreuung möglich. </w:t>
      </w:r>
    </w:p>
    <w:p w:rsidR="008410CD" w:rsidRPr="008410CD" w:rsidRDefault="008410CD" w:rsidP="008410CD">
      <w:pPr>
        <w:pStyle w:val="Listenabsatz"/>
        <w:numPr>
          <w:ilvl w:val="0"/>
          <w:numId w:val="14"/>
        </w:numPr>
        <w:spacing w:line="276" w:lineRule="auto"/>
        <w:jc w:val="both"/>
        <w:rPr>
          <w:rFonts w:ascii="Arial" w:hAnsi="Arial" w:cs="Arial"/>
          <w:sz w:val="20"/>
        </w:rPr>
      </w:pPr>
      <w:r w:rsidRPr="008410CD">
        <w:rPr>
          <w:rFonts w:ascii="Arial" w:hAnsi="Arial" w:cs="Arial"/>
          <w:sz w:val="20"/>
        </w:rPr>
        <w:t xml:space="preserve">Der Bund muss den Einnahmeausfall der Gemeinden ersetzen </w:t>
      </w:r>
      <w:r w:rsidR="00550BD5" w:rsidRPr="008410CD">
        <w:rPr>
          <w:rFonts w:ascii="Arial" w:hAnsi="Arial" w:cs="Arial"/>
          <w:sz w:val="20"/>
        </w:rPr>
        <w:t>um wichtige</w:t>
      </w:r>
      <w:r w:rsidRPr="008410CD">
        <w:rPr>
          <w:rFonts w:ascii="Arial" w:hAnsi="Arial" w:cs="Arial"/>
          <w:sz w:val="20"/>
        </w:rPr>
        <w:t xml:space="preserve"> Einrichtungen wie Kindergärten weiter finanzieren zu können</w:t>
      </w:r>
    </w:p>
    <w:p w:rsidR="00B67351" w:rsidRPr="008410CD" w:rsidRDefault="00B67351" w:rsidP="00C061C4">
      <w:pPr>
        <w:pStyle w:val="Listenabsatz"/>
        <w:numPr>
          <w:ilvl w:val="0"/>
          <w:numId w:val="14"/>
        </w:numPr>
        <w:spacing w:line="276" w:lineRule="auto"/>
        <w:jc w:val="both"/>
        <w:rPr>
          <w:rFonts w:ascii="Arial" w:hAnsi="Arial" w:cs="Arial"/>
          <w:b/>
          <w:sz w:val="20"/>
        </w:rPr>
      </w:pPr>
      <w:r w:rsidRPr="008410CD">
        <w:rPr>
          <w:rFonts w:ascii="Arial" w:hAnsi="Arial" w:cs="Arial"/>
          <w:sz w:val="20"/>
        </w:rPr>
        <w:t>Umsetzung von 1.700 Euro brutto/monatlich Mindestlohn</w:t>
      </w:r>
      <w:r w:rsidR="00982FE0" w:rsidRPr="008410CD">
        <w:rPr>
          <w:rFonts w:ascii="Arial" w:hAnsi="Arial" w:cs="Arial"/>
          <w:sz w:val="20"/>
        </w:rPr>
        <w:t xml:space="preserve"> in den Kollektivverträgen</w:t>
      </w:r>
    </w:p>
    <w:p w:rsidR="001F1E49" w:rsidRPr="008410CD" w:rsidRDefault="001F1E49" w:rsidP="001F1E49">
      <w:pPr>
        <w:pStyle w:val="Listenabsatz"/>
        <w:numPr>
          <w:ilvl w:val="0"/>
          <w:numId w:val="14"/>
        </w:numPr>
        <w:spacing w:line="276" w:lineRule="auto"/>
        <w:jc w:val="both"/>
        <w:rPr>
          <w:rFonts w:ascii="Arial" w:hAnsi="Arial" w:cs="Arial"/>
          <w:sz w:val="20"/>
        </w:rPr>
      </w:pPr>
      <w:r w:rsidRPr="008410CD">
        <w:rPr>
          <w:rFonts w:ascii="Arial" w:hAnsi="Arial" w:cs="Arial"/>
          <w:sz w:val="20"/>
        </w:rPr>
        <w:t xml:space="preserve">Kürzere und planbare Arbeitszeiten mit dem </w:t>
      </w:r>
      <w:r w:rsidRPr="008410CD">
        <w:rPr>
          <w:rFonts w:ascii="Arial" w:hAnsi="Arial" w:cs="Arial"/>
          <w:sz w:val="20"/>
          <w:highlight w:val="yellow"/>
        </w:rPr>
        <w:t>Ziel einer 35-Stundenwoche</w:t>
      </w:r>
      <w:r w:rsidRPr="008410CD">
        <w:rPr>
          <w:rFonts w:ascii="Arial" w:hAnsi="Arial" w:cs="Arial"/>
          <w:sz w:val="20"/>
        </w:rPr>
        <w:t>.</w:t>
      </w:r>
    </w:p>
    <w:p w:rsidR="00B67351" w:rsidRPr="008410CD" w:rsidRDefault="00B67351" w:rsidP="00C061C4">
      <w:pPr>
        <w:pStyle w:val="Listenabsatz"/>
        <w:numPr>
          <w:ilvl w:val="0"/>
          <w:numId w:val="14"/>
        </w:numPr>
        <w:spacing w:line="276" w:lineRule="auto"/>
        <w:jc w:val="both"/>
        <w:rPr>
          <w:rFonts w:ascii="Arial" w:hAnsi="Arial" w:cs="Arial"/>
          <w:sz w:val="20"/>
        </w:rPr>
      </w:pPr>
      <w:r w:rsidRPr="008410CD">
        <w:rPr>
          <w:rFonts w:ascii="Arial" w:hAnsi="Arial" w:cs="Arial"/>
          <w:sz w:val="20"/>
        </w:rPr>
        <w:t xml:space="preserve">Anhebung des Mehrarbeitszuschlags ab der ersten Stunde auf 50 Prozent </w:t>
      </w:r>
    </w:p>
    <w:p w:rsidR="001F1E49" w:rsidRPr="008410CD" w:rsidRDefault="001F1E49" w:rsidP="004C06B0">
      <w:pPr>
        <w:pStyle w:val="Listenabsatz"/>
        <w:numPr>
          <w:ilvl w:val="0"/>
          <w:numId w:val="14"/>
        </w:numPr>
        <w:spacing w:line="276" w:lineRule="auto"/>
        <w:jc w:val="both"/>
        <w:rPr>
          <w:rFonts w:ascii="Arial" w:hAnsi="Arial" w:cs="Arial"/>
          <w:sz w:val="20"/>
          <w:highlight w:val="yellow"/>
        </w:rPr>
      </w:pPr>
      <w:r w:rsidRPr="008410CD">
        <w:rPr>
          <w:rFonts w:ascii="Arial" w:hAnsi="Arial" w:cs="Arial"/>
          <w:sz w:val="20"/>
          <w:highlight w:val="yellow"/>
        </w:rPr>
        <w:t>Flexibilitätszuschlag für Beschäftigte, wenn Dienstpläne weniger als 2 Wochen vor dem Einsatz geändert werden</w:t>
      </w:r>
    </w:p>
    <w:p w:rsidR="001F1E49" w:rsidRPr="008410CD" w:rsidRDefault="00B67351" w:rsidP="00C061C4">
      <w:pPr>
        <w:pStyle w:val="Listenabsatz"/>
        <w:numPr>
          <w:ilvl w:val="0"/>
          <w:numId w:val="14"/>
        </w:numPr>
        <w:spacing w:line="276" w:lineRule="auto"/>
        <w:jc w:val="both"/>
        <w:rPr>
          <w:rFonts w:ascii="Arial" w:hAnsi="Arial" w:cs="Arial"/>
          <w:sz w:val="20"/>
        </w:rPr>
      </w:pPr>
      <w:r w:rsidRPr="008410CD">
        <w:rPr>
          <w:rFonts w:ascii="Arial" w:hAnsi="Arial" w:cs="Arial"/>
          <w:sz w:val="20"/>
        </w:rPr>
        <w:t>Volle Einkommenstransparenz in den Betrieben</w:t>
      </w:r>
      <w:r w:rsidR="001F1E49" w:rsidRPr="008410CD">
        <w:rPr>
          <w:rFonts w:ascii="Arial" w:hAnsi="Arial" w:cs="Arial"/>
          <w:sz w:val="20"/>
        </w:rPr>
        <w:t xml:space="preserve"> </w:t>
      </w:r>
    </w:p>
    <w:p w:rsidR="00B67351" w:rsidRPr="008410CD" w:rsidRDefault="001F1E49" w:rsidP="00F44F9A">
      <w:pPr>
        <w:pStyle w:val="Listenabsatz"/>
        <w:numPr>
          <w:ilvl w:val="0"/>
          <w:numId w:val="12"/>
        </w:numPr>
        <w:spacing w:line="276" w:lineRule="auto"/>
        <w:jc w:val="both"/>
        <w:rPr>
          <w:rFonts w:ascii="Arial" w:hAnsi="Arial" w:cs="Arial"/>
          <w:sz w:val="20"/>
        </w:rPr>
      </w:pPr>
      <w:r w:rsidRPr="008410CD">
        <w:rPr>
          <w:rFonts w:ascii="Arial" w:hAnsi="Arial" w:cs="Arial"/>
          <w:sz w:val="20"/>
        </w:rPr>
        <w:t>Leichtere Erreichbarkeit der 6. Urlaubswoche</w:t>
      </w:r>
    </w:p>
    <w:p w:rsidR="003E39A3" w:rsidRPr="00A52BE3" w:rsidRDefault="008410CD" w:rsidP="00F44F9A">
      <w:pPr>
        <w:pStyle w:val="Listenabsatz"/>
        <w:numPr>
          <w:ilvl w:val="0"/>
          <w:numId w:val="12"/>
        </w:numPr>
        <w:spacing w:line="276" w:lineRule="auto"/>
        <w:jc w:val="both"/>
        <w:rPr>
          <w:rFonts w:ascii="Arial" w:hAnsi="Arial" w:cs="Arial"/>
        </w:rPr>
      </w:pPr>
      <w:r>
        <w:rPr>
          <w:rFonts w:ascii="Arial" w:hAnsi="Arial" w:cs="Arial"/>
          <w:sz w:val="20"/>
        </w:rPr>
        <w:t xml:space="preserve">Ausseichender </w:t>
      </w:r>
      <w:r w:rsidR="003E39A3" w:rsidRPr="008410CD">
        <w:rPr>
          <w:rFonts w:ascii="Arial" w:hAnsi="Arial" w:cs="Arial"/>
          <w:sz w:val="20"/>
        </w:rPr>
        <w:t>Gesundheitsschutz am Arbeitsplatz</w:t>
      </w:r>
      <w:r>
        <w:rPr>
          <w:rFonts w:ascii="Arial" w:hAnsi="Arial" w:cs="Arial"/>
          <w:sz w:val="20"/>
        </w:rPr>
        <w:t xml:space="preserve"> für die Beschäftigten</w:t>
      </w:r>
    </w:p>
    <w:sectPr w:rsidR="003E39A3" w:rsidRPr="00A52BE3" w:rsidSect="004A1166">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FBC" w:rsidRDefault="00EB2FBC" w:rsidP="00433F2A">
      <w:r>
        <w:separator/>
      </w:r>
    </w:p>
  </w:endnote>
  <w:endnote w:type="continuationSeparator" w:id="0">
    <w:p w:rsidR="00EB2FBC" w:rsidRDefault="00EB2FBC" w:rsidP="0043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2A" w:rsidRDefault="00786936" w:rsidP="00786936">
    <w:pPr>
      <w:pStyle w:val="Text"/>
      <w:jc w:val="right"/>
    </w:pPr>
    <w:r>
      <w:t xml:space="preserve">Seite </w:t>
    </w:r>
    <w:r>
      <w:fldChar w:fldCharType="begin"/>
    </w:r>
    <w:r>
      <w:instrText xml:space="preserve"> PAGE   \* MERGEFORMAT </w:instrText>
    </w:r>
    <w:r>
      <w:fldChar w:fldCharType="separate"/>
    </w:r>
    <w:r w:rsidR="008410CD">
      <w:rPr>
        <w:noProof/>
      </w:rPr>
      <w:t>2</w:t>
    </w:r>
    <w:r>
      <w:fldChar w:fldCharType="end"/>
    </w:r>
    <w:r>
      <w:t xml:space="preserve"> von </w:t>
    </w:r>
    <w:r w:rsidR="00696B5D">
      <w:fldChar w:fldCharType="begin"/>
    </w:r>
    <w:r w:rsidR="00696B5D">
      <w:instrText xml:space="preserve"> NUMPAGES   \* MERGEFORMAT </w:instrText>
    </w:r>
    <w:r w:rsidR="00696B5D">
      <w:fldChar w:fldCharType="separate"/>
    </w:r>
    <w:r w:rsidR="008410CD">
      <w:rPr>
        <w:noProof/>
      </w:rPr>
      <w:t>2</w:t>
    </w:r>
    <w:r w:rsidR="00696B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FBC" w:rsidRDefault="00EB2FBC" w:rsidP="00433F2A">
      <w:r>
        <w:separator/>
      </w:r>
    </w:p>
  </w:footnote>
  <w:footnote w:type="continuationSeparator" w:id="0">
    <w:p w:rsidR="00EB2FBC" w:rsidRDefault="00EB2FBC" w:rsidP="00433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237"/>
    <w:multiLevelType w:val="hybridMultilevel"/>
    <w:tmpl w:val="5AA4D752"/>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953DC5"/>
    <w:multiLevelType w:val="hybridMultilevel"/>
    <w:tmpl w:val="D0502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A1BC2"/>
    <w:multiLevelType w:val="hybridMultilevel"/>
    <w:tmpl w:val="307A1904"/>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9D27FF"/>
    <w:multiLevelType w:val="hybridMultilevel"/>
    <w:tmpl w:val="32B24090"/>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E408DD"/>
    <w:multiLevelType w:val="hybridMultilevel"/>
    <w:tmpl w:val="8F8A241E"/>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C521F4"/>
    <w:multiLevelType w:val="hybridMultilevel"/>
    <w:tmpl w:val="A24A8868"/>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803EDA"/>
    <w:multiLevelType w:val="hybridMultilevel"/>
    <w:tmpl w:val="FE1C3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55239"/>
    <w:multiLevelType w:val="hybridMultilevel"/>
    <w:tmpl w:val="16B47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C74F94"/>
    <w:multiLevelType w:val="hybridMultilevel"/>
    <w:tmpl w:val="A2A65A44"/>
    <w:lvl w:ilvl="0" w:tplc="DFDC918E">
      <w:start w:val="1"/>
      <w:numFmt w:val="bullet"/>
      <w:lvlText w:val=""/>
      <w:lvlJc w:val="left"/>
      <w:pPr>
        <w:ind w:left="720" w:hanging="360"/>
      </w:pPr>
      <w:rPr>
        <w:rFonts w:ascii="Wingdings" w:hAnsi="Wingdings" w:hint="default"/>
        <w:color w:val="A6A6A6" w:themeColor="background1" w:themeShade="A6"/>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1B35E6"/>
    <w:multiLevelType w:val="hybridMultilevel"/>
    <w:tmpl w:val="C7ACC390"/>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F41000"/>
    <w:multiLevelType w:val="hybridMultilevel"/>
    <w:tmpl w:val="9A6E0EBE"/>
    <w:lvl w:ilvl="0" w:tplc="4DCE2A50">
      <w:start w:val="1"/>
      <w:numFmt w:val="bullet"/>
      <w:lvlText w:val="•"/>
      <w:lvlJc w:val="left"/>
      <w:pPr>
        <w:ind w:left="705" w:hanging="705"/>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937BC0"/>
    <w:multiLevelType w:val="hybridMultilevel"/>
    <w:tmpl w:val="7E922CF8"/>
    <w:lvl w:ilvl="0" w:tplc="DFDC918E">
      <w:start w:val="1"/>
      <w:numFmt w:val="bullet"/>
      <w:lvlText w:val=""/>
      <w:lvlJc w:val="left"/>
      <w:pPr>
        <w:ind w:left="1080" w:hanging="360"/>
      </w:pPr>
      <w:rPr>
        <w:rFonts w:ascii="Wingdings" w:hAnsi="Wingdings" w:hint="default"/>
        <w:color w:val="A6A6A6" w:themeColor="background1" w:themeShade="A6"/>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52414457"/>
    <w:multiLevelType w:val="hybridMultilevel"/>
    <w:tmpl w:val="0F126AD6"/>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77D21D0"/>
    <w:multiLevelType w:val="hybridMultilevel"/>
    <w:tmpl w:val="A8C88C22"/>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A6766E5"/>
    <w:multiLevelType w:val="hybridMultilevel"/>
    <w:tmpl w:val="E32C9166"/>
    <w:lvl w:ilvl="0" w:tplc="DFDC918E">
      <w:start w:val="1"/>
      <w:numFmt w:val="bullet"/>
      <w:lvlText w:val=""/>
      <w:lvlJc w:val="left"/>
      <w:pPr>
        <w:ind w:left="720" w:hanging="360"/>
      </w:pPr>
      <w:rPr>
        <w:rFonts w:ascii="Wingdings" w:hAnsi="Wingdings" w:hint="default"/>
        <w:color w:val="A6A6A6" w:themeColor="background1" w:themeShade="A6"/>
      </w:rPr>
    </w:lvl>
    <w:lvl w:ilvl="1" w:tplc="7BCA8E2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B8D6A59"/>
    <w:multiLevelType w:val="hybridMultilevel"/>
    <w:tmpl w:val="2B9C7A8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BD6DD0"/>
    <w:multiLevelType w:val="hybridMultilevel"/>
    <w:tmpl w:val="2F7E751A"/>
    <w:lvl w:ilvl="0" w:tplc="DFDC918E">
      <w:start w:val="1"/>
      <w:numFmt w:val="bullet"/>
      <w:lvlText w:val=""/>
      <w:lvlJc w:val="left"/>
      <w:pPr>
        <w:ind w:left="720" w:hanging="360"/>
      </w:pPr>
      <w:rPr>
        <w:rFonts w:ascii="Wingdings" w:hAnsi="Wingdings" w:hint="default"/>
        <w:color w:val="A6A6A6" w:themeColor="background1" w:themeShade="A6"/>
      </w:rPr>
    </w:lvl>
    <w:lvl w:ilvl="1" w:tplc="7BCA8E2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522EBC"/>
    <w:multiLevelType w:val="hybridMultilevel"/>
    <w:tmpl w:val="61989352"/>
    <w:lvl w:ilvl="0" w:tplc="DFDC918E">
      <w:start w:val="1"/>
      <w:numFmt w:val="bullet"/>
      <w:lvlText w:val=""/>
      <w:lvlJc w:val="left"/>
      <w:pPr>
        <w:ind w:left="720" w:hanging="360"/>
      </w:pPr>
      <w:rPr>
        <w:rFonts w:ascii="Wingdings" w:hAnsi="Wingdings" w:hint="default"/>
        <w:color w:val="A6A6A6" w:themeColor="background1" w:themeShade="A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9574F6D"/>
    <w:multiLevelType w:val="hybridMultilevel"/>
    <w:tmpl w:val="A8147CAE"/>
    <w:lvl w:ilvl="0" w:tplc="DFDC918E">
      <w:start w:val="1"/>
      <w:numFmt w:val="bullet"/>
      <w:lvlText w:val=""/>
      <w:lvlJc w:val="left"/>
      <w:pPr>
        <w:ind w:left="1080" w:hanging="360"/>
      </w:pPr>
      <w:rPr>
        <w:rFonts w:ascii="Wingdings" w:hAnsi="Wingdings" w:hint="default"/>
        <w:color w:val="A6A6A6" w:themeColor="background1" w:themeShade="A6"/>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3"/>
  </w:num>
  <w:num w:numId="4">
    <w:abstractNumId w:val="11"/>
  </w:num>
  <w:num w:numId="5">
    <w:abstractNumId w:val="8"/>
  </w:num>
  <w:num w:numId="6">
    <w:abstractNumId w:val="12"/>
  </w:num>
  <w:num w:numId="7">
    <w:abstractNumId w:val="16"/>
  </w:num>
  <w:num w:numId="8">
    <w:abstractNumId w:val="4"/>
  </w:num>
  <w:num w:numId="9">
    <w:abstractNumId w:val="18"/>
  </w:num>
  <w:num w:numId="10">
    <w:abstractNumId w:val="15"/>
  </w:num>
  <w:num w:numId="11">
    <w:abstractNumId w:val="0"/>
  </w:num>
  <w:num w:numId="12">
    <w:abstractNumId w:val="3"/>
  </w:num>
  <w:num w:numId="13">
    <w:abstractNumId w:val="5"/>
  </w:num>
  <w:num w:numId="14">
    <w:abstractNumId w:val="2"/>
  </w:num>
  <w:num w:numId="15">
    <w:abstractNumId w:val="10"/>
  </w:num>
  <w:num w:numId="16">
    <w:abstractNumId w:val="6"/>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31"/>
    <w:rsid w:val="00002995"/>
    <w:rsid w:val="00016149"/>
    <w:rsid w:val="0002057B"/>
    <w:rsid w:val="0014434D"/>
    <w:rsid w:val="00146AA3"/>
    <w:rsid w:val="00194B54"/>
    <w:rsid w:val="001B4F77"/>
    <w:rsid w:val="001B5024"/>
    <w:rsid w:val="001F1E49"/>
    <w:rsid w:val="00217EF0"/>
    <w:rsid w:val="0024730A"/>
    <w:rsid w:val="00252B5C"/>
    <w:rsid w:val="0030270D"/>
    <w:rsid w:val="00316F08"/>
    <w:rsid w:val="00320BE9"/>
    <w:rsid w:val="003216F6"/>
    <w:rsid w:val="00325841"/>
    <w:rsid w:val="0034146C"/>
    <w:rsid w:val="00355D94"/>
    <w:rsid w:val="00364232"/>
    <w:rsid w:val="00396670"/>
    <w:rsid w:val="003A3602"/>
    <w:rsid w:val="003B589A"/>
    <w:rsid w:val="003D747B"/>
    <w:rsid w:val="003E39A3"/>
    <w:rsid w:val="003F6ADB"/>
    <w:rsid w:val="00433F2A"/>
    <w:rsid w:val="0044644B"/>
    <w:rsid w:val="004574BF"/>
    <w:rsid w:val="00466C04"/>
    <w:rsid w:val="00473BF6"/>
    <w:rsid w:val="004A1166"/>
    <w:rsid w:val="004C3D17"/>
    <w:rsid w:val="004D1253"/>
    <w:rsid w:val="005356E9"/>
    <w:rsid w:val="00550BD5"/>
    <w:rsid w:val="00563C98"/>
    <w:rsid w:val="00570A5D"/>
    <w:rsid w:val="005C2620"/>
    <w:rsid w:val="00604813"/>
    <w:rsid w:val="00607D8B"/>
    <w:rsid w:val="00616BA1"/>
    <w:rsid w:val="00630F44"/>
    <w:rsid w:val="0063380E"/>
    <w:rsid w:val="00646931"/>
    <w:rsid w:val="00661BC3"/>
    <w:rsid w:val="00687038"/>
    <w:rsid w:val="00696B5D"/>
    <w:rsid w:val="006C4F9C"/>
    <w:rsid w:val="006F0380"/>
    <w:rsid w:val="0070419E"/>
    <w:rsid w:val="00704584"/>
    <w:rsid w:val="00757FBD"/>
    <w:rsid w:val="00760D5F"/>
    <w:rsid w:val="00767B62"/>
    <w:rsid w:val="00786936"/>
    <w:rsid w:val="00797329"/>
    <w:rsid w:val="007A7F32"/>
    <w:rsid w:val="007B3869"/>
    <w:rsid w:val="007E0296"/>
    <w:rsid w:val="007E69C1"/>
    <w:rsid w:val="008410CD"/>
    <w:rsid w:val="00850B14"/>
    <w:rsid w:val="008752B7"/>
    <w:rsid w:val="008C2D54"/>
    <w:rsid w:val="008E467B"/>
    <w:rsid w:val="0093421F"/>
    <w:rsid w:val="00982FE0"/>
    <w:rsid w:val="009F6423"/>
    <w:rsid w:val="00A031FC"/>
    <w:rsid w:val="00A0671E"/>
    <w:rsid w:val="00A1769C"/>
    <w:rsid w:val="00A2495C"/>
    <w:rsid w:val="00A26682"/>
    <w:rsid w:val="00A52BE3"/>
    <w:rsid w:val="00AC047F"/>
    <w:rsid w:val="00B67351"/>
    <w:rsid w:val="00B74885"/>
    <w:rsid w:val="00B86FC6"/>
    <w:rsid w:val="00BB1838"/>
    <w:rsid w:val="00BF4F98"/>
    <w:rsid w:val="00C061C4"/>
    <w:rsid w:val="00CB6B6B"/>
    <w:rsid w:val="00CF2288"/>
    <w:rsid w:val="00D01CC2"/>
    <w:rsid w:val="00D01E87"/>
    <w:rsid w:val="00D37A93"/>
    <w:rsid w:val="00D7054A"/>
    <w:rsid w:val="00E1046F"/>
    <w:rsid w:val="00E31ADB"/>
    <w:rsid w:val="00E50AE6"/>
    <w:rsid w:val="00E85884"/>
    <w:rsid w:val="00EA2744"/>
    <w:rsid w:val="00EB2FBC"/>
    <w:rsid w:val="00EB3F17"/>
    <w:rsid w:val="00EB52FC"/>
    <w:rsid w:val="00EC6F91"/>
    <w:rsid w:val="00EE496F"/>
    <w:rsid w:val="00EF5D70"/>
    <w:rsid w:val="00F254AF"/>
    <w:rsid w:val="00F52448"/>
    <w:rsid w:val="00F63D98"/>
    <w:rsid w:val="00F9029E"/>
    <w:rsid w:val="00FC42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C7B3F7-34F0-42F7-8339-A8EF9740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BE9"/>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52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2FC"/>
    <w:rPr>
      <w:rFonts w:ascii="Tahoma" w:hAnsi="Tahoma" w:cs="Tahoma"/>
      <w:sz w:val="16"/>
      <w:szCs w:val="16"/>
    </w:rPr>
  </w:style>
  <w:style w:type="paragraph" w:customStyle="1" w:styleId="lead">
    <w:name w:val="lead"/>
    <w:basedOn w:val="Standard"/>
    <w:qFormat/>
    <w:rsid w:val="00433F2A"/>
    <w:pPr>
      <w:spacing w:line="280" w:lineRule="exact"/>
      <w:jc w:val="both"/>
    </w:pPr>
    <w:rPr>
      <w:b/>
    </w:rPr>
  </w:style>
  <w:style w:type="paragraph" w:customStyle="1" w:styleId="berschrift">
    <w:name w:val="Überschrift"/>
    <w:basedOn w:val="Standard"/>
    <w:qFormat/>
    <w:rsid w:val="00433F2A"/>
    <w:rPr>
      <w:b/>
      <w:sz w:val="24"/>
    </w:rPr>
  </w:style>
  <w:style w:type="paragraph" w:customStyle="1" w:styleId="Text">
    <w:name w:val="Text"/>
    <w:basedOn w:val="Standard"/>
    <w:qFormat/>
    <w:rsid w:val="00433F2A"/>
    <w:pPr>
      <w:spacing w:line="280" w:lineRule="exact"/>
      <w:jc w:val="both"/>
    </w:pPr>
  </w:style>
  <w:style w:type="paragraph" w:styleId="Kopfzeile">
    <w:name w:val="header"/>
    <w:basedOn w:val="Standard"/>
    <w:link w:val="KopfzeileZchn"/>
    <w:uiPriority w:val="99"/>
    <w:unhideWhenUsed/>
    <w:rsid w:val="00433F2A"/>
    <w:pPr>
      <w:tabs>
        <w:tab w:val="center" w:pos="4536"/>
        <w:tab w:val="right" w:pos="9072"/>
      </w:tabs>
    </w:pPr>
  </w:style>
  <w:style w:type="character" w:customStyle="1" w:styleId="KopfzeileZchn">
    <w:name w:val="Kopfzeile Zchn"/>
    <w:basedOn w:val="Absatz-Standardschriftart"/>
    <w:link w:val="Kopfzeile"/>
    <w:uiPriority w:val="99"/>
    <w:rsid w:val="00433F2A"/>
    <w:rPr>
      <w:rFonts w:ascii="Arial" w:hAnsi="Arial"/>
      <w:sz w:val="20"/>
    </w:rPr>
  </w:style>
  <w:style w:type="paragraph" w:styleId="Fuzeile">
    <w:name w:val="footer"/>
    <w:basedOn w:val="Standard"/>
    <w:link w:val="FuzeileZchn"/>
    <w:uiPriority w:val="99"/>
    <w:unhideWhenUsed/>
    <w:rsid w:val="00433F2A"/>
    <w:pPr>
      <w:tabs>
        <w:tab w:val="center" w:pos="4536"/>
        <w:tab w:val="right" w:pos="9072"/>
      </w:tabs>
    </w:pPr>
  </w:style>
  <w:style w:type="character" w:customStyle="1" w:styleId="FuzeileZchn">
    <w:name w:val="Fußzeile Zchn"/>
    <w:basedOn w:val="Absatz-Standardschriftart"/>
    <w:link w:val="Fuzeile"/>
    <w:uiPriority w:val="99"/>
    <w:rsid w:val="00433F2A"/>
    <w:rPr>
      <w:rFonts w:ascii="Arial" w:hAnsi="Arial"/>
      <w:sz w:val="20"/>
    </w:rPr>
  </w:style>
  <w:style w:type="paragraph" w:styleId="Listenabsatz">
    <w:name w:val="List Paragraph"/>
    <w:basedOn w:val="Standard"/>
    <w:uiPriority w:val="34"/>
    <w:qFormat/>
    <w:rsid w:val="00320BE9"/>
    <w:pPr>
      <w:spacing w:after="160" w:line="259" w:lineRule="auto"/>
      <w:ind w:left="720"/>
      <w:contextualSpacing/>
    </w:pPr>
    <w:rPr>
      <w:rFonts w:asciiTheme="minorHAnsi" w:hAnsiTheme="minorHAnsi"/>
      <w:sz w:val="22"/>
      <w:lang w:val="de-DE"/>
    </w:rPr>
  </w:style>
  <w:style w:type="character" w:styleId="Kommentarzeichen">
    <w:name w:val="annotation reference"/>
    <w:basedOn w:val="Absatz-Standardschriftart"/>
    <w:uiPriority w:val="99"/>
    <w:semiHidden/>
    <w:unhideWhenUsed/>
    <w:rsid w:val="00E85884"/>
    <w:rPr>
      <w:sz w:val="16"/>
      <w:szCs w:val="16"/>
    </w:rPr>
  </w:style>
  <w:style w:type="paragraph" w:styleId="Kommentartext">
    <w:name w:val="annotation text"/>
    <w:basedOn w:val="Standard"/>
    <w:link w:val="KommentartextZchn"/>
    <w:uiPriority w:val="99"/>
    <w:semiHidden/>
    <w:unhideWhenUsed/>
    <w:rsid w:val="00E85884"/>
    <w:rPr>
      <w:szCs w:val="20"/>
    </w:rPr>
  </w:style>
  <w:style w:type="character" w:customStyle="1" w:styleId="KommentartextZchn">
    <w:name w:val="Kommentartext Zchn"/>
    <w:basedOn w:val="Absatz-Standardschriftart"/>
    <w:link w:val="Kommentartext"/>
    <w:uiPriority w:val="99"/>
    <w:semiHidden/>
    <w:rsid w:val="00E8588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85884"/>
    <w:rPr>
      <w:b/>
      <w:bCs/>
    </w:rPr>
  </w:style>
  <w:style w:type="character" w:customStyle="1" w:styleId="KommentarthemaZchn">
    <w:name w:val="Kommentarthema Zchn"/>
    <w:basedOn w:val="KommentartextZchn"/>
    <w:link w:val="Kommentarthema"/>
    <w:uiPriority w:val="99"/>
    <w:semiHidden/>
    <w:rsid w:val="00E858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26934">
      <w:bodyDiv w:val="1"/>
      <w:marLeft w:val="0"/>
      <w:marRight w:val="0"/>
      <w:marTop w:val="0"/>
      <w:marBottom w:val="0"/>
      <w:divBdr>
        <w:top w:val="none" w:sz="0" w:space="0" w:color="auto"/>
        <w:left w:val="none" w:sz="0" w:space="0" w:color="auto"/>
        <w:bottom w:val="none" w:sz="0" w:space="0" w:color="auto"/>
        <w:right w:val="none" w:sz="0" w:space="0" w:color="auto"/>
      </w:divBdr>
    </w:div>
    <w:div w:id="20271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US" sz="1400" b="0">
                <a:latin typeface="Arial" pitchFamily="34" charset="0"/>
                <a:cs typeface="Arial" pitchFamily="34" charset="0"/>
              </a:rPr>
              <a:t>Frauenanteil in systemrelevanten Berufen</a:t>
            </a:r>
          </a:p>
        </c:rich>
      </c:tx>
      <c:layout>
        <c:manualLayout>
          <c:xMode val="edge"/>
          <c:yMode val="edge"/>
          <c:x val="0.22244027115547035"/>
          <c:y val="3.90625E-2"/>
        </c:manualLayout>
      </c:layout>
      <c:overlay val="0"/>
    </c:title>
    <c:autoTitleDeleted val="0"/>
    <c:plotArea>
      <c:layout/>
      <c:barChart>
        <c:barDir val="bar"/>
        <c:grouping val="clustered"/>
        <c:varyColors val="0"/>
        <c:ser>
          <c:idx val="0"/>
          <c:order val="0"/>
          <c:tx>
            <c:strRef>
              <c:f>'[SORA LeistungsträgerInnen.xlsx]Tabelle1'!$F$3</c:f>
              <c:strCache>
                <c:ptCount val="1"/>
                <c:pt idx="0">
                  <c:v>Frauen-anteil</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'[SORA LeistungsträgerInnen.xlsx]Tabelle1'!$C$4:$C$14</c:f>
              <c:strCache>
                <c:ptCount val="11"/>
                <c:pt idx="0">
                  <c:v>FahrerIn, Lieferdienste </c:v>
                </c:pt>
                <c:pt idx="1">
                  <c:v>Polizei/Feuerwehr </c:v>
                </c:pt>
                <c:pt idx="2">
                  <c:v>Bankangestellte </c:v>
                </c:pt>
                <c:pt idx="3">
                  <c:v>Arzt/Ärztin, ApothekerIn </c:v>
                </c:pt>
                <c:pt idx="4">
                  <c:v>LehrerInnen </c:v>
                </c:pt>
                <c:pt idx="5">
                  <c:v>Alten-/Behindertenbetreuung </c:v>
                </c:pt>
                <c:pt idx="6">
                  <c:v>medizinische Assistenz </c:v>
                </c:pt>
                <c:pt idx="7">
                  <c:v>Pflege, med. Betreuung </c:v>
                </c:pt>
                <c:pt idx="8">
                  <c:v>Reinigungskräfte </c:v>
                </c:pt>
                <c:pt idx="9">
                  <c:v>KassierIn, Regalbetreuung</c:v>
                </c:pt>
                <c:pt idx="10">
                  <c:v>Kinderbildung </c:v>
                </c:pt>
              </c:strCache>
            </c:strRef>
          </c:cat>
          <c:val>
            <c:numRef>
              <c:f>'[SORA LeistungsträgerInnen.xlsx]Tabelle1'!$F$4:$F$14</c:f>
              <c:numCache>
                <c:formatCode>#,##0</c:formatCode>
                <c:ptCount val="11"/>
                <c:pt idx="0">
                  <c:v>9</c:v>
                </c:pt>
                <c:pt idx="1">
                  <c:v>15</c:v>
                </c:pt>
                <c:pt idx="2">
                  <c:v>46</c:v>
                </c:pt>
                <c:pt idx="3">
                  <c:v>55</c:v>
                </c:pt>
                <c:pt idx="4">
                  <c:v>58</c:v>
                </c:pt>
                <c:pt idx="5">
                  <c:v>78</c:v>
                </c:pt>
                <c:pt idx="6">
                  <c:v>80</c:v>
                </c:pt>
                <c:pt idx="7">
                  <c:v>82</c:v>
                </c:pt>
                <c:pt idx="8">
                  <c:v>83</c:v>
                </c:pt>
                <c:pt idx="9">
                  <c:v>86</c:v>
                </c:pt>
                <c:pt idx="10">
                  <c:v>88</c:v>
                </c:pt>
              </c:numCache>
            </c:numRef>
          </c:val>
          <c:extLst>
            <c:ext xmlns:c16="http://schemas.microsoft.com/office/drawing/2014/chart" uri="{C3380CC4-5D6E-409C-BE32-E72D297353CC}">
              <c16:uniqueId val="{00000000-29F8-40F1-BE9B-456BCFF2B781}"/>
            </c:ext>
          </c:extLst>
        </c:ser>
        <c:dLbls>
          <c:showLegendKey val="0"/>
          <c:showVal val="0"/>
          <c:showCatName val="0"/>
          <c:showSerName val="0"/>
          <c:showPercent val="0"/>
          <c:showBubbleSize val="0"/>
        </c:dLbls>
        <c:gapWidth val="150"/>
        <c:axId val="219263360"/>
        <c:axId val="175079808"/>
      </c:barChart>
      <c:catAx>
        <c:axId val="219263360"/>
        <c:scaling>
          <c:orientation val="minMax"/>
        </c:scaling>
        <c:delete val="0"/>
        <c:axPos val="l"/>
        <c:numFmt formatCode="General" sourceLinked="0"/>
        <c:majorTickMark val="out"/>
        <c:minorTickMark val="none"/>
        <c:tickLblPos val="nextTo"/>
        <c:crossAx val="175079808"/>
        <c:crosses val="autoZero"/>
        <c:auto val="1"/>
        <c:lblAlgn val="ctr"/>
        <c:lblOffset val="100"/>
        <c:noMultiLvlLbl val="0"/>
      </c:catAx>
      <c:valAx>
        <c:axId val="175079808"/>
        <c:scaling>
          <c:orientation val="minMax"/>
        </c:scaling>
        <c:delete val="0"/>
        <c:axPos val="b"/>
        <c:numFmt formatCode="#,##0" sourceLinked="1"/>
        <c:majorTickMark val="out"/>
        <c:minorTickMark val="none"/>
        <c:tickLblPos val="nextTo"/>
        <c:crossAx val="2192633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28DFD480CA8540862A6EE8A3F995A7" ma:contentTypeVersion="10" ma:contentTypeDescription="Ein neues Dokument erstellen." ma:contentTypeScope="" ma:versionID="aaf2f7ea6443c9c8bec492b4b23d2061">
  <xsd:schema xmlns:xsd="http://www.w3.org/2001/XMLSchema" xmlns:xs="http://www.w3.org/2001/XMLSchema" xmlns:p="http://schemas.microsoft.com/office/2006/metadata/properties" xmlns:ns2="380c625e-f192-4369-969b-245b648b92f3" xmlns:ns3="7023365c-b3fb-456a-b692-7571590f7ac8" targetNamespace="http://schemas.microsoft.com/office/2006/metadata/properties" ma:root="true" ma:fieldsID="0b8172276fec5699c5fa374228f65974" ns2:_="" ns3:_="">
    <xsd:import namespace="380c625e-f192-4369-969b-245b648b92f3"/>
    <xsd:import namespace="7023365c-b3fb-456a-b692-7571590f7a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625e-f192-4369-969b-245b648b92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3365c-b3fb-456a-b692-7571590f7ac8"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0074E-45B4-4718-88C3-20495605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c625e-f192-4369-969b-245b648b92f3"/>
    <ds:schemaRef ds:uri="7023365c-b3fb-456a-b692-7571590f7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F666C-CCB8-4819-B076-640D7DF4FC6D}">
  <ds:schemaRefs>
    <ds:schemaRef ds:uri="http://schemas.microsoft.com/sharepoint/v3/contenttype/forms"/>
  </ds:schemaRefs>
</ds:datastoreItem>
</file>

<file path=customXml/itemProps3.xml><?xml version="1.0" encoding="utf-8"?>
<ds:datastoreItem xmlns:ds="http://schemas.openxmlformats.org/officeDocument/2006/customXml" ds:itemID="{EC9A38EE-0831-4FD4-B54F-892AE5B941A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 Miriam</dc:creator>
  <cp:lastModifiedBy>Matz Marion</cp:lastModifiedBy>
  <cp:revision>2</cp:revision>
  <cp:lastPrinted>2020-05-26T09:05:00Z</cp:lastPrinted>
  <dcterms:created xsi:type="dcterms:W3CDTF">2020-10-20T07:11:00Z</dcterms:created>
  <dcterms:modified xsi:type="dcterms:W3CDTF">2020-10-20T07:11:00Z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0x010100F728DFD480CA8540862A6EE8A3F995A7</vt:lpwstr>
  </property>
</Properties>
</file>